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ФИНАНСОВ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НАЛОГОВАЯ СЛУЖБА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14 февраля 2025 г. N ЕА-4-3/1489@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НАПРАВЛЕНИИ</w:t>
      </w:r>
    </w:p>
    <w:p>
      <w:pPr>
        <w:pStyle w:val="2"/>
        <w:jc w:val="center"/>
      </w:pPr>
      <w:r>
        <w:rPr>
          <w:sz w:val="20"/>
        </w:rPr>
        <w:t xml:space="preserve">ИНФОРМАЦИИ ПО ВОПРОСУ ИСЧИСЛЕНИЯ ТУРИСТИЧЕСКОГО НАЛОГА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Федеральная налоговая служба в связи с поступающими обращениями территориальных налоговых органов и налогоплательщиков по вопросу исчисления туристического налога со стоимости платы за фактический простой номера сообщает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пунктом 1 статьи 418.3</w:t>
        </w:r>
      </w:hyperlink>
      <w:r>
        <w:rPr>
          <w:sz w:val="20"/>
        </w:rPr>
        <w:t xml:space="preserve"> Налогового кодекса Российской Федерации (далее - Кодекс) объектом налогообложения по туристическому налогу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муниципального образования (на территориях городов федерального значения Москвы, Санкт-Петербурга и Севастополя, федеральной территории "Сириус") и включенных в реестр классифицированных средств размещения, предусмотренный Федеральным </w:t>
      </w:r>
      <w:hyperlink w:history="0" r:id="rId7" w:tooltip="Федеральный закон от 24.11.1996 N 132-ФЗ (ред. от 30.11.2024) &quot;Об основах туристской деятельности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24.11.1996 N 132-ФЗ "Об основах туристской деятельности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8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пункту 1 статьи 418.4</w:t>
        </w:r>
      </w:hyperlink>
      <w:r>
        <w:rPr>
          <w:sz w:val="20"/>
        </w:rPr>
        <w:t xml:space="preserve"> Кодекса 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</w:t>
      </w:r>
      <w:hyperlink w:history="0" r:id="rId9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пункта 1 статьи 418.7</w:t>
        </w:r>
      </w:hyperlink>
      <w:r>
        <w:rPr>
          <w:sz w:val="20"/>
        </w:rPr>
        <w:t xml:space="preserve"> Кодекса сумма туристического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лицом, приобретающим такую услугу.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исчисленная в соответствии с </w:t>
      </w:r>
      <w:hyperlink w:history="0" r:id="rId10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абзацем первым пункта 1 статьи 418.7</w:t>
        </w:r>
      </w:hyperlink>
      <w:r>
        <w:rPr>
          <w:sz w:val="20"/>
        </w:rPr>
        <w:t xml:space="preserve"> Кодекса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1" w:tooltip="Постановление Правительства РФ от 18.11.2020 N 1853 (ред. от 27.12.2024) &quot;Об утверждении Правил предоставления гостиничных услуг в Российской Федерации&quot; {КонсультантПлюс}">
        <w:r>
          <w:rPr>
            <w:sz w:val="20"/>
            <w:color w:val="0000ff"/>
          </w:rPr>
          <w:t xml:space="preserve">пункту 12</w:t>
        </w:r>
      </w:hyperlink>
      <w:r>
        <w:rPr>
          <w:sz w:val="20"/>
        </w:rPr>
        <w:t xml:space="preserve"> Правил предоставления гостиничных услуг в Российской Федерации, утвержденных Постановлением Правительства РФ от 18.11.2020 N 1853 (далее - Правила предоставления гостиничных услуг), гостиничные услуги предоставляются юридическими лицами и индивидуальными предпринимателями (далее - исполнители) на основании договора, заключаемого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Постановление Правительства РФ от 18.11.2020 N 1853 (ред. от 27.12.2024) &quot;Об утверждении Правил предоставления гостиничных услуг в Российской Федерации&quot; {КонсультантПлюс}">
        <w:r>
          <w:rPr>
            <w:sz w:val="20"/>
            <w:color w:val="0000ff"/>
          </w:rPr>
          <w:t xml:space="preserve">пунктом 14</w:t>
        </w:r>
      </w:hyperlink>
      <w:r>
        <w:rPr>
          <w:sz w:val="20"/>
        </w:rPr>
        <w:t xml:space="preserve"> Правил предоставления гостиничных услуг письменная форма договора считается соблюденной, в том числе в случае подтверждения исполнителем заявки, направленной заказчиком (потребителем) исполнителю.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</w:t>
      </w:r>
      <w:hyperlink w:history="0" r:id="rId13" w:tooltip="Постановление Правительства РФ от 18.11.2020 N 1853 (ред. от 27.12.2024) &quot;Об утверждении Правил предоставления гостиничных услуг в Российской Федерации&quot; {КонсультантПлюс}">
        <w:r>
          <w:rPr>
            <w:sz w:val="20"/>
            <w:color w:val="0000ff"/>
          </w:rPr>
          <w:t xml:space="preserve">абзаца 3 пункта 15</w:t>
        </w:r>
      </w:hyperlink>
      <w:r>
        <w:rPr>
          <w:sz w:val="20"/>
        </w:rPr>
        <w:t xml:space="preserve"> Правил предоставления гостиничных услуг договор считается заключенным с момента получения заказчиком (потребителем) подтверждения бронирования.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</w:t>
      </w:r>
      <w:hyperlink w:history="0" r:id="rId14" w:tooltip="Постановление Правительства РФ от 18.11.2020 N 1853 (ред. от 27.12.2024) &quot;Об утверждении Правил предоставления гостиничных услуг в Российской Федерации&quot; {КонсультантПлюс}">
        <w:r>
          <w:rPr>
            <w:sz w:val="20"/>
            <w:color w:val="0000ff"/>
          </w:rPr>
          <w:t xml:space="preserve">пункта 16</w:t>
        </w:r>
      </w:hyperlink>
      <w:r>
        <w:rPr>
          <w:sz w:val="20"/>
        </w:rPr>
        <w:t xml:space="preserve"> Правил предоставления гостиничных услуг исполнитель вправе применять в гостинице гарантированное бронирование, при котором гостиница ожидает потребителя до расчетного часа дня, следующего за днем запланированного заезда. В случае несвоевременного отказа от бронирования, опоздания или незаезда потребителя с него или с заказчика взимается плата за фактический простой номера (места в номере), но не более чем за сутки. При опоздании более чем на сутки договор прекращается.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 вышеизложенное, при простое номера (места в номере) услуга по предоставлению мест для временного проживания физических лиц в средствах размещения фактически не оказывается.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в указанном случае отсутствует объект налогообложения туристическим налогом.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этой связи со стоимости платы за фактический простой номера (места в номере) в случае несвоевременного отказа от бронирования, опоздания или незаезда потребителя туристический налог (минимальный налог) не исчисляется.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Указанная позиция согласована с Минфином России письмом от 13.02.2025 N 03-05-04-06/12896.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Управлениям ФНС России по субъектам Российской Федерации поручается довести данное письмо до нижестоящих налоговых органов.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Действительный</w:t>
      </w:r>
    </w:p>
    <w:p>
      <w:pPr>
        <w:pStyle w:val="0"/>
        <w:jc w:val="right"/>
      </w:pPr>
      <w:r>
        <w:rPr>
          <w:sz w:val="20"/>
        </w:rPr>
        <w:t xml:space="preserve">государственный советник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2 класса</w:t>
      </w:r>
    </w:p>
    <w:p>
      <w:pPr>
        <w:pStyle w:val="0"/>
        <w:jc w:val="right"/>
      </w:pPr>
      <w:r>
        <w:rPr>
          <w:sz w:val="20"/>
        </w:rPr>
        <w:t xml:space="preserve">А.В.ЕГОРИЧЕВ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ФНС России от 14.02.2025 N ЕА-4-3/1489@</w:t>
            <w:br/>
            <w:t>"О направлении информации по вопросу исчисления туристического налога"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ФНС России от 14.02.2025 N ЕА-4-3/1489@ "О направлении информации по вопросу исчисления туристического налога"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75532&amp;dst=27267" TargetMode = "External"/>
	<Relationship Id="rId7" Type="http://schemas.openxmlformats.org/officeDocument/2006/relationships/hyperlink" Target="https://login.consultant.ru/link/?req=doc&amp;base=LAW&amp;n=484479&amp;dst=1396" TargetMode = "External"/>
	<Relationship Id="rId8" Type="http://schemas.openxmlformats.org/officeDocument/2006/relationships/hyperlink" Target="https://login.consultant.ru/link/?req=doc&amp;base=LAW&amp;n=475532&amp;dst=26419" TargetMode = "External"/>
	<Relationship Id="rId9" Type="http://schemas.openxmlformats.org/officeDocument/2006/relationships/hyperlink" Target="https://login.consultant.ru/link/?req=doc&amp;base=LAW&amp;n=475532&amp;dst=26436" TargetMode = "External"/>
	<Relationship Id="rId10" Type="http://schemas.openxmlformats.org/officeDocument/2006/relationships/hyperlink" Target="https://login.consultant.ru/link/?req=doc&amp;base=LAW&amp;n=475532&amp;dst=26436" TargetMode = "External"/>
	<Relationship Id="rId11" Type="http://schemas.openxmlformats.org/officeDocument/2006/relationships/hyperlink" Target="https://login.consultant.ru/link/?req=doc&amp;base=LAW&amp;n=495434&amp;dst=100047" TargetMode = "External"/>
	<Relationship Id="rId12" Type="http://schemas.openxmlformats.org/officeDocument/2006/relationships/hyperlink" Target="https://login.consultant.ru/link/?req=doc&amp;base=LAW&amp;n=495434&amp;dst=100057" TargetMode = "External"/>
	<Relationship Id="rId13" Type="http://schemas.openxmlformats.org/officeDocument/2006/relationships/hyperlink" Target="https://login.consultant.ru/link/?req=doc&amp;base=LAW&amp;n=495434&amp;dst=100060" TargetMode = "External"/>
	<Relationship Id="rId14" Type="http://schemas.openxmlformats.org/officeDocument/2006/relationships/hyperlink" Target="https://login.consultant.ru/link/?req=doc&amp;base=LAW&amp;n=495434&amp;dst=10006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ФНС России от 14.02.2025 N ЕА-4-3/1489@
"О направлении информации по вопросу исчисления туристического налога"</dc:title>
  <dcterms:created xsi:type="dcterms:W3CDTF">2025-04-03T08:14:36Z</dcterms:created>
</cp:coreProperties>
</file>