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ФИНАНСОВ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ФЕДЕРАЛЬНАЯ НАЛОГОВАЯ СЛУЖБА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ПИСЬМО</w:t>
      </w:r>
    </w:p>
    <w:p>
      <w:pPr>
        <w:pStyle w:val="2"/>
        <w:jc w:val="center"/>
      </w:pPr>
      <w:r>
        <w:rPr>
          <w:sz w:val="20"/>
        </w:rPr>
        <w:t xml:space="preserve">от 18 марта 2025 г. N СД-4-3/2927@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ПОРЯДКЕ ИСЧИСЛЕНИЯ ТУРИСТИЧЕСКОГО НАЛОГА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Федеральная налоговая служба в связи с поступающими обращениями территориальных налоговых органов и налогоплательщиков по порядку исчисления туристического налога налогоплательщиками, оказывающими услуги по временному проживанию в составе услуг по санаторно-курортному лечению, сообщает следующее.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6" w:tooltip="&quot;Налоговый кодекс Российской Федерации (часть вторая)&quot; от 05.08.2000 N 117-ФЗ (ред. от 28.12.2024, с изм. от 21.01.2025) (с изм. и доп., вступ. в силу с 01.04.2025) {КонсультантПлюс}">
        <w:r>
          <w:rPr>
            <w:sz w:val="20"/>
            <w:color w:val="0000ff"/>
          </w:rPr>
          <w:t xml:space="preserve">абзацем четвертым пункта 1 статьи 418.7</w:t>
        </w:r>
      </w:hyperlink>
      <w:r>
        <w:rPr>
          <w:sz w:val="20"/>
        </w:rPr>
        <w:t xml:space="preserve"> Налогового кодекса Российской Федерации налогоплательщики, оказывающие услуги по временному проживанию в составе услуг по санаторно-курортному лечению, исчисляют туристический налог в отношении таких услуг в размере минимального налога.</w:t>
      </w:r>
    </w:p>
    <w:p>
      <w:pPr>
        <w:pStyle w:val="0"/>
        <w:spacing w:before="200" w:line-rule="auto"/>
        <w:ind w:firstLine="540"/>
        <w:jc w:val="both"/>
      </w:pPr>
      <w:hyperlink w:history="0" r:id="rId7" w:tooltip="Приказ Минздрава России от 05.05.2016 N 279н (ред. от 25.09.2020) &quot;Об утверждении Порядка организации санаторно-курортного лечения&quot; (Зарегистрировано в Минюсте России 21.06.2016 N 42580) {КонсультантПлюс}">
        <w:r>
          <w:rPr>
            <w:sz w:val="20"/>
            <w:color w:val="0000ff"/>
          </w:rPr>
          <w:t xml:space="preserve">Пунктом 11</w:t>
        </w:r>
      </w:hyperlink>
      <w:r>
        <w:rPr>
          <w:sz w:val="20"/>
        </w:rPr>
        <w:t xml:space="preserve"> Порядка организации санаторно-курортного лечения, утвержденного Приказом Минздрава России от 05.05.2016 N 279н "Об утверждении Порядка организации санаторно-курортного лечения" предусмотрено, что прием в медицинскую организацию на санаторно-курортное лечение осуществляется в том числе на основании путевки на санаторно-курортное лечение.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Приказ Минтруда России N 929н, Минздрава России N 1345н от 21.12.2020 (ред. от 01.10.2024) &quot;Об утверждении Порядка предоставления набора социальных услуг отдельным категориям граждан&quot; (Зарегистрировано в Минюсте России 11.05.2021 N 63365) {КонсультантПлюс}">
        <w:r>
          <w:rPr>
            <w:sz w:val="20"/>
            <w:color w:val="0000ff"/>
          </w:rPr>
          <w:t xml:space="preserve">пунктом 26</w:t>
        </w:r>
      </w:hyperlink>
      <w:r>
        <w:rPr>
          <w:sz w:val="20"/>
        </w:rPr>
        <w:t xml:space="preserve"> Приказа Минтруда России N 929н, Минздрава России N 1345н от 21.12.2020 "Об утверждении Порядка предоставления набора социальных услуг отдельным категориям граждан" санаторно-курортная путевка на бумажном носителе является документом строгой отчетности.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Согласно </w:t>
      </w:r>
      <w:hyperlink w:history="0" r:id="rId9" w:tooltip="Федеральный закон от 22.05.2003 N 54-ФЗ (ред. от 08.08.2024) &quot;О применении контрольно-кассовой техники при осуществлении расчетов в Российской Федерации&quot; {КонсультантПлюс}">
        <w:r>
          <w:rPr>
            <w:sz w:val="20"/>
            <w:color w:val="0000ff"/>
          </w:rPr>
          <w:t xml:space="preserve">статье 1.1</w:t>
        </w:r>
      </w:hyperlink>
      <w:r>
        <w:rPr>
          <w:sz w:val="20"/>
        </w:rPr>
        <w:t xml:space="preserve"> Федерального закона от 22.05.2003 N 54-ФЗ "О применении контрольно-кассовой техники при осуществлении расчетов в Российской Федерации" бланк строгой отчетности - первичный учетный документ, приравненный к кассовому чеку, соответствующий требованиям законодательства Российской Федерации о применении контрольно-кассовой техники, сформированный в электронной форме и (или) отпечатанный с применением автоматизированной системы для бланков строгой отчетности в момент расчета между пользователем и клиентом за оказанные услуги, содержащий сведения о расчете и подтверждающий факт его осуществления.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Бланк </w:t>
      </w:r>
      <w:hyperlink w:history="0" r:id="rId10" w:tooltip="Приказ Минфина РФ от 10.12.1999 N 90н &quot;Об утверждении бланков строгой отчетности&quot; {КонсультантПлюс}">
        <w:r>
          <w:rPr>
            <w:sz w:val="20"/>
            <w:color w:val="0000ff"/>
          </w:rPr>
          <w:t xml:space="preserve">формы</w:t>
        </w:r>
      </w:hyperlink>
      <w:r>
        <w:rPr>
          <w:sz w:val="20"/>
        </w:rPr>
        <w:t xml:space="preserve"> санаторно-курортной путевки утвержден Приказом Министерства финансов Российской Федерации от 10.12.1999 N 90н "Об утверждении бланков строгой отчетности".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Санаторно-курортная путевка содержит информацию о санаторно-курортной организации, сведения о лице - получателе услуг по санаторно-курортной путевке, информацию о продолжительности предоставления услуг по санаторно-курортной путевке, о ее стоимости и дате продажи и является неотъемлемой частью договора на оказание санаторно-курортных услуг.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этой связи налогоплательщики, оказывающие услуги по временному проживанию в составе услуг по санаторно-курортному лечению на основании договора на оказание санаторно-курортных услуг (санаторно-курортной путевки), исчисляют туристический налог в размере, определяемом как произведение 100 рублей и количества суток предоставления услуг по временному проживанию в составе услуг по санаторно-курортному лечению в отношении каждой санаторно-курортной путевки.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Пример 1: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Семья из 3-х человек приобрела 3 путевки на санаторно-курортное лечение с проживанием в одном номере. Продолжительность каждой путевки 10 дней.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указанном случае санаторий исчисляет туристический налог по каждой санаторно-курортной путевке из расчета 100 рублей за сутки.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Таким образом, сумма туристического налога равна 3 000 рублей (100 x 10 x 3 = 3 000).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Пример 2: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Организация по договору с санаторно-курортным учреждением приобрела 200 путевок на санаторно-курортное лечение продолжительностью по 10 дней каждая.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указанном случае санаторий исчисляет туристический налог по каждой санаторно-курортной путевке из расчета 100 рублей за сутки.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Таким образом, сумма туристического налога равна 200 000 рублей (100 x 10 x 200 = 200 000).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Указанная позиция согласована с Минфином России письмом от 13.03.2025 N 03-05-04-06/24584.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Управлениям ФНС России по субъектам Российской Федерации поручается довести данное письмо до нижестоящих налоговых органов.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Действительный</w:t>
      </w:r>
    </w:p>
    <w:p>
      <w:pPr>
        <w:pStyle w:val="0"/>
        <w:jc w:val="right"/>
      </w:pPr>
      <w:r>
        <w:rPr>
          <w:sz w:val="20"/>
        </w:rPr>
        <w:t xml:space="preserve">государственный советник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2 класса</w:t>
      </w:r>
    </w:p>
    <w:p>
      <w:pPr>
        <w:pStyle w:val="0"/>
        <w:jc w:val="right"/>
      </w:pPr>
      <w:r>
        <w:rPr>
          <w:sz w:val="20"/>
        </w:rPr>
        <w:t xml:space="preserve">Д.С.САТИН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ФНС России от 18.03.2025 N СД-4-3/2927@</w:t>
            <w:br/>
            <w:t>"О порядке исчисления туристического налога"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03.04.2025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&lt;Письмо&gt; ФНС России от 18.03.2025 N СД-4-3/2927@ "О порядке исчисления туристического налога"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03.04.2025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	<Relationship Id="rId6" Type="http://schemas.openxmlformats.org/officeDocument/2006/relationships/hyperlink" Target="https://login.consultant.ru/link/?req=doc&amp;base=LAW&amp;n=475532&amp;dst=27284" TargetMode = "External"/>
	<Relationship Id="rId7" Type="http://schemas.openxmlformats.org/officeDocument/2006/relationships/hyperlink" Target="https://login.consultant.ru/link/?req=doc&amp;base=LAW&amp;n=388706&amp;dst=100041" TargetMode = "External"/>
	<Relationship Id="rId8" Type="http://schemas.openxmlformats.org/officeDocument/2006/relationships/hyperlink" Target="https://login.consultant.ru/link/?req=doc&amp;base=LAW&amp;n=489639&amp;dst=100114" TargetMode = "External"/>
	<Relationship Id="rId9" Type="http://schemas.openxmlformats.org/officeDocument/2006/relationships/hyperlink" Target="https://login.consultant.ru/link/?req=doc&amp;base=LAW&amp;n=482724&amp;dst=62" TargetMode = "External"/>
	<Relationship Id="rId10" Type="http://schemas.openxmlformats.org/officeDocument/2006/relationships/hyperlink" Target="https://login.consultant.ru/link/?req=doc&amp;base=LAW&amp;n=26204&amp;dst=100023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4025.00.02</Application>
  <Company>КонсультантПлюс Версия 4025.00.02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ФНС России от 18.03.2025 N СД-4-3/2927@
"О порядке исчисления туристического налога"</dc:title>
  <dcterms:created xsi:type="dcterms:W3CDTF">2025-04-03T08:12:58Z</dcterms:created>
</cp:coreProperties>
</file>